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0014F" w14:textId="77777777" w:rsidR="00641A5F" w:rsidRPr="00641A5F" w:rsidRDefault="00641A5F" w:rsidP="00641A5F">
      <w:pPr>
        <w:shd w:val="clear" w:color="auto" w:fill="FFFFFF"/>
        <w:spacing w:before="0" w:after="161" w:line="240" w:lineRule="auto"/>
        <w:outlineLvl w:val="0"/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b/>
          <w:bCs/>
          <w:kern w:val="36"/>
          <w:sz w:val="48"/>
          <w:szCs w:val="48"/>
          <w:lang w:eastAsia="cs-CZ"/>
          <w14:ligatures w14:val="none"/>
        </w:rPr>
        <w:t>Pravidla elektronické podatelny</w:t>
      </w:r>
    </w:p>
    <w:p w14:paraId="731F1999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Obec Hudlice zřizuje podle zákona č. 227/2000 Sb., o elektronickém podpisu v platném znění, elektronickou podatelnu:</w:t>
      </w:r>
    </w:p>
    <w:p w14:paraId="0B2603FD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Doručení datové zprávy se odesilateli potvrzuje, pokud je možné z přijaté datové zprávy zjistit elektronickou adresu odesilatele.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Pokud potvrzení doručení datové zprávy nedojde, zpráva nebyla doručena.</w:t>
      </w:r>
    </w:p>
    <w:p w14:paraId="4C73A8B2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Technické parametry přijímaných datových zpráv: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Formáty datových zpráv: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*.</w:t>
      </w:r>
      <w:proofErr w:type="spellStart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txt</w:t>
      </w:r>
      <w:proofErr w:type="spellEnd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, *.doc, *.</w:t>
      </w:r>
      <w:proofErr w:type="spellStart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rtf</w:t>
      </w:r>
      <w:proofErr w:type="spellEnd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, *.</w:t>
      </w:r>
      <w:proofErr w:type="spellStart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xls</w:t>
      </w:r>
      <w:proofErr w:type="spellEnd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, *.</w:t>
      </w:r>
      <w:proofErr w:type="spellStart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pdf</w:t>
      </w:r>
      <w:proofErr w:type="spellEnd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, *.</w:t>
      </w:r>
      <w:proofErr w:type="spellStart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htm</w:t>
      </w:r>
      <w:proofErr w:type="spellEnd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, *.html, *.</w:t>
      </w:r>
      <w:proofErr w:type="spellStart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jpg</w:t>
      </w:r>
      <w:proofErr w:type="spellEnd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Velikost datových zpráv: max. 10 MB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 xml:space="preserve">Příjem podání na technickém nosiči dat: CD, DVD, </w:t>
      </w:r>
      <w:proofErr w:type="spellStart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flash</w:t>
      </w:r>
      <w:proofErr w:type="spellEnd"/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 disk (USB)</w:t>
      </w:r>
    </w:p>
    <w:p w14:paraId="0C1B9FD1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Postup v případě zjištění škodlivého kódu u přijaté datové zprávy: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Datová zpráva, u které byl zjištěn škodlivý kód, není zpracovávána. Pokud z přijaté datové zprávy lze zjistit elektronickou adresu odesilatele, je na tuto adresu zasláno sdělení o zjištění škodlivého kódu.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Vyřizování dotazů týkajících se provozu elektronické podatelny: Vaše dotazy týkající se provozu elektronické podatelny zasílejte na poštovní adresu úřadu.</w:t>
      </w:r>
    </w:p>
    <w:p w14:paraId="1ACEBEAA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Seznam právních předpisů, podle kterých je možné vůči městskému úřadu činit právní úkony v elektronické podobě a náležitosti těchto úkonů, zejména náležitosti týkající se použití zaručeného elektronického podpisu:</w:t>
      </w:r>
    </w:p>
    <w:p w14:paraId="087539E8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1.</w:t>
      </w:r>
      <w:r w:rsidRPr="00641A5F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 Žádost o poskytnutí informace podle zákona č. 106/1999 Sb.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 xml:space="preserve">, o svobodném přístupu k informacím nemusí být podepsána zaručeným elektronickým podpisem. Podle § 14 odst. 2 zákona č. 106/1999 Sb. musí být z podání zřejmé, kterému povinnému subjektu je určeno a kdo jej činí. U podání prostřednictvím telekomunikačního zařízení musí být uvedena rovněž příslušná identifikace žadatele (například elektronická adresa). Neobsahuje-li 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lastRenderedPageBreak/>
        <w:t>žádost tyto údaje, není žádost podáním ve smyslu tohoto zákona a žádost se odloží.</w:t>
      </w:r>
    </w:p>
    <w:p w14:paraId="143B2AF6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2. </w:t>
      </w:r>
      <w:r w:rsidRPr="00641A5F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Podání podle zákona č. 500/2004 Sb., správní řád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 (§ 37)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br/>
        <w:t>Podání je možno učinit písemně nebo ústně do protokolu anebo v elektronické podobě podepsané zaručeným elektronickým podpisem. Za podmínky, že podání je do 5 dnů potvrzeno, popřípadě doplněno způsobem uvedeným ve větě první, je možno je učinit pomocí jiných technických prostředků, zejména prostřednictvím dálnopisu, telefaxu nebo veřejné datové sítě bez použití zaručeného elektronického podpisu.</w:t>
      </w:r>
    </w:p>
    <w:p w14:paraId="3CEBE341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3. </w:t>
      </w:r>
      <w:r w:rsidRPr="00641A5F">
        <w:rPr>
          <w:rFonts w:ascii="Montserrat" w:eastAsia="Times New Roman" w:hAnsi="Montserrat" w:cs="Times New Roman"/>
          <w:b/>
          <w:bCs/>
          <w:color w:val="333333"/>
          <w:kern w:val="0"/>
          <w:sz w:val="27"/>
          <w:szCs w:val="27"/>
          <w:lang w:eastAsia="cs-CZ"/>
          <w14:ligatures w14:val="none"/>
        </w:rPr>
        <w:t>Stížnosti, oznámení a podněty</w:t>
      </w: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 nemusí být podepsány zaručeným elektronickým podpisem.</w:t>
      </w:r>
    </w:p>
    <w:p w14:paraId="4079FDD2" w14:textId="77777777" w:rsidR="00641A5F" w:rsidRPr="00641A5F" w:rsidRDefault="00641A5F" w:rsidP="00641A5F">
      <w:pPr>
        <w:shd w:val="clear" w:color="auto" w:fill="FFFFFF"/>
        <w:spacing w:before="240" w:after="480" w:line="240" w:lineRule="auto"/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</w:pPr>
      <w:r w:rsidRPr="00641A5F">
        <w:rPr>
          <w:rFonts w:ascii="Montserrat" w:eastAsia="Times New Roman" w:hAnsi="Montserrat" w:cs="Times New Roman"/>
          <w:color w:val="333333"/>
          <w:kern w:val="0"/>
          <w:sz w:val="27"/>
          <w:szCs w:val="27"/>
          <w:lang w:eastAsia="cs-CZ"/>
          <w14:ligatures w14:val="none"/>
        </w:rPr>
        <w:t>4. Datové zprávy zaslané úřadu, jejichž náležitosti neupravuje právní předpis, nemusí být podepsány zaručeným elektronickým podpisem. Jedná se například o běžnou e-mailovou komunikaci mezi pracovníky úřadu a občany.</w:t>
      </w:r>
    </w:p>
    <w:p w14:paraId="244A7964" w14:textId="77777777" w:rsidR="00B604A2" w:rsidRDefault="00B604A2"/>
    <w:sectPr w:rsidR="00B604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5F"/>
    <w:rsid w:val="00051BAD"/>
    <w:rsid w:val="00641A5F"/>
    <w:rsid w:val="00B6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B16C"/>
  <w15:chartTrackingRefBased/>
  <w15:docId w15:val="{F9BC7B23-4BCD-4166-A51B-27211A01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lang w:val="cs-CZ" w:eastAsia="en-US" w:bidi="ar-SA"/>
        <w14:ligatures w14:val="standardContextual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1BAD"/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BA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d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2135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Ciprova</dc:creator>
  <cp:keywords/>
  <dc:description/>
  <cp:lastModifiedBy>Ciprova</cp:lastModifiedBy>
  <cp:revision>2</cp:revision>
  <dcterms:created xsi:type="dcterms:W3CDTF">2023-11-02T12:04:00Z</dcterms:created>
  <dcterms:modified xsi:type="dcterms:W3CDTF">2023-11-02T12:04:00Z</dcterms:modified>
</cp:coreProperties>
</file>