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DENNÍ MENU od 11-15 hod.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pondělí – pátek</w:t>
      </w:r>
    </w:p>
    <w:p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15.6 -19.6.2026</w:t>
      </w:r>
    </w:p>
    <w:tbl>
      <w:tblPr>
        <w:tblStyle w:val="PlainTable2"/>
        <w:tblW w:w="100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6"/>
        <w:gridCol w:w="6120"/>
        <w:gridCol w:w="1042"/>
        <w:gridCol w:w="1137"/>
      </w:tblGrid>
      <w:tr>
        <w:trPr>
          <w:trHeight w:val="445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Pondělí 15.6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Zavřeno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</w:tr>
      <w:tr>
        <w:trPr>
          <w:trHeight w:val="44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Úterý 16.6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Slepičí vývar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1.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 Vepřové nudličky po čínsku, rýže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130,-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100g Smažený hermelín, brambory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130,-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300g Těstovinový salát s kuřecím masem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140,-</w:t>
            </w:r>
          </w:p>
        </w:tc>
      </w:tr>
      <w:tr>
        <w:trPr>
          <w:trHeight w:val="445" w:hRule="atLeast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Středa 17.6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Zelná s klobásou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1.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 Vepřový stroganov, rýže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130,-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 Vepřový karbanátek, bramborová kaše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120,-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300g  Lívanečky s jahodovým přelivem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120,-</w:t>
            </w:r>
          </w:p>
        </w:tc>
      </w:tr>
      <w:tr>
        <w:trPr>
          <w:trHeight w:val="44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Čtvrtek 18.6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Dršťková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1,9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1.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200g Kuřecí steak, americké brambory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140,-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Vepřová plec po srbsku, knedlík/ rýže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1,6,7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130,-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300g Cuketové špagety sypané parmezánem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130,-</w:t>
            </w:r>
          </w:p>
        </w:tc>
      </w:tr>
      <w:tr>
        <w:trPr>
          <w:trHeight w:val="445" w:hRule="atLeast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Pátek 19.6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Dršťková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b/>
                <w:bCs/>
                <w:kern w:val="0"/>
                <w:lang w:val="cs-CZ" w:eastAsia="en-US" w:bidi="ar-SA"/>
              </w:rPr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Krkovice na pivu, šťouchané brambory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149,-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 xml:space="preserve">  </w:t>
            </w: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Králík na smetaně, houskové knedlíky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160,-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Grilovaná vepřová játra, hranolky</w:t>
            </w:r>
          </w:p>
        </w:tc>
        <w:tc>
          <w:tcPr>
            <w:tcW w:w="104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1,6,9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150,-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  <w:t xml:space="preserve"> 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3722" w:leader="none"/>
        </w:tabs>
        <w:spacing w:lineRule="auto" w:line="240" w:before="0" w:after="0"/>
        <w:rPr/>
      </w:pPr>
      <w:r>
        <w:rPr/>
        <w:tab/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Informace o alergenech jsou k dispozici na vyžádání obsluhy.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Poloviční porce účtujeme za 70% z ceny.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Jídla jsou určena k okamžité spotřebě.</w:t>
      </w:r>
    </w:p>
    <w:sectPr>
      <w:headerReference w:type="default" r:id="rId2"/>
      <w:footerReference w:type="default" r:id="rId3"/>
      <w:type w:val="nextPage"/>
      <w:pgSz w:w="11906" w:h="16838"/>
      <w:pgMar w:left="990" w:right="1286" w:gutter="0" w:header="540" w:top="1440" w:footer="369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nseQuote"/>
      <w:spacing w:before="0" w:after="0"/>
      <w:ind w:left="0" w:right="0"/>
      <w:rPr>
        <w:sz w:val="16"/>
        <w:szCs w:val="16"/>
      </w:rPr>
    </w:pPr>
    <w:r>
      <w:rPr>
        <w:sz w:val="16"/>
        <w:szCs w:val="16"/>
      </w:rPr>
      <w:t xml:space="preserve">Telefon: </w:t>
    </w:r>
    <w:r>
      <w:rPr>
        <w:b/>
        <w:bCs/>
        <w:sz w:val="16"/>
        <w:szCs w:val="16"/>
      </w:rPr>
      <w:t xml:space="preserve">+420 776 305 658, </w:t>
    </w:r>
    <w:r>
      <w:rPr>
        <w:sz w:val="16"/>
        <w:szCs w:val="16"/>
      </w:rPr>
      <w:t xml:space="preserve">E-mail: </w:t>
    </w:r>
    <w:hyperlink r:id="rId1">
      <w:r>
        <w:rPr>
          <w:rStyle w:val="Hyperlink"/>
          <w:sz w:val="16"/>
          <w:szCs w:val="16"/>
        </w:rPr>
        <w:t>info@hospudkaujungmanna.cz</w:t>
      </w:r>
    </w:hyperlink>
    <w:r>
      <w:rPr>
        <w:sz w:val="16"/>
        <w:szCs w:val="16"/>
      </w:rPr>
      <w:t xml:space="preserve">, </w:t>
    </w:r>
    <w:hyperlink r:id="rId2">
      <w:r>
        <w:rPr>
          <w:rStyle w:val="Hyperlink"/>
          <w:sz w:val="16"/>
          <w:szCs w:val="16"/>
          <w:u w:val="none"/>
        </w:rPr>
        <w:t>www.hospudkaujungmanna.cz</w:t>
      </w:r>
    </w:hyperlink>
    <w:r>
      <w:rPr>
        <w:sz w:val="16"/>
        <w:szCs w:val="16"/>
      </w:rPr>
      <w:t>,  HUDLICE, Bří Jungmannů 364, 267 03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nseQuote"/>
      <w:spacing w:lineRule="auto" w:line="240" w:before="0" w:after="0"/>
      <w:ind w:left="720" w:right="720"/>
      <w:rPr>
        <w:sz w:val="28"/>
        <w:szCs w:val="28"/>
      </w:rPr>
    </w:pPr>
    <w:r>
      <w:rPr>
        <w:sz w:val="28"/>
        <w:szCs w:val="28"/>
      </w:rPr>
      <w:t>Hospůdka u Jungmanna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1bb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d17f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6d17f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b40268"/>
    <w:rPr>
      <w:i/>
      <w:iCs/>
    </w:rPr>
  </w:style>
  <w:style w:type="character" w:styleId="NzevChar" w:customStyle="1">
    <w:name w:val="Název Char"/>
    <w:basedOn w:val="DefaultParagraphFont"/>
    <w:uiPriority w:val="10"/>
    <w:qFormat/>
    <w:rsid w:val="0030124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ZhlavChar" w:customStyle="1">
    <w:name w:val="Záhlaví Char"/>
    <w:basedOn w:val="DefaultParagraphFont"/>
    <w:uiPriority w:val="99"/>
    <w:qFormat/>
    <w:rsid w:val="00d53b65"/>
    <w:rPr/>
  </w:style>
  <w:style w:type="character" w:styleId="ZpatChar" w:customStyle="1">
    <w:name w:val="Zápatí Char"/>
    <w:basedOn w:val="DefaultParagraphFont"/>
    <w:uiPriority w:val="99"/>
    <w:qFormat/>
    <w:rsid w:val="00d53b65"/>
    <w:rPr/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d02f0"/>
    <w:rPr>
      <w:i/>
      <w:iCs/>
      <w:color w:themeColor="accent1" w:val="4472C4"/>
    </w:rPr>
  </w:style>
  <w:style w:type="character" w:styleId="Hyperlink">
    <w:name w:val="Hyperlink"/>
    <w:basedOn w:val="DefaultParagraphFont"/>
    <w:uiPriority w:val="99"/>
    <w:unhideWhenUsed/>
    <w:rsid w:val="002c3632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c3632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30124e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5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5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d02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themeColor="accent1" w:val="4472C4"/>
    </w:rPr>
  </w:style>
  <w:style w:type="paragraph" w:styleId="ListParagraph">
    <w:name w:val="List Paragraph"/>
    <w:basedOn w:val="Normal"/>
    <w:uiPriority w:val="34"/>
    <w:qFormat/>
    <w:rsid w:val="00822bd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43a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PlainTable2">
    <w:name w:val="Plain Table 2"/>
    <w:basedOn w:val="Normlntabulka"/>
    <w:uiPriority w:val="42"/>
    <w:rsid w:val="004e3fa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hospudkaujungmanna.cz" TargetMode="External"/><Relationship Id="rId2" Type="http://schemas.openxmlformats.org/officeDocument/2006/relationships/hyperlink" Target="http://www.hospudkaujungmanna.cz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2A4CA-E277-4419-A8E3-52036927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1</Pages>
  <Words>177</Words>
  <Characters>982</Characters>
  <CharactersWithSpaces>1101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2026-06-12T18:40:00Z</dcterms:created>
  <dc:creator>uzivatel</dc:creator>
  <dc:description/>
  <dc:language>cs-CZ</dc:language>
  <cp:lastModifiedBy>Stefanie-pc</cp:lastModifiedBy>
  <cp:lastPrinted>2026-06-07T13:15:00Z</cp:lastPrinted>
  <dcterms:modified xsi:type="dcterms:W3CDTF">2026-06-14T12:38:00Z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